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23" w:rsidRPr="007D50C7" w:rsidRDefault="00FB01AF" w:rsidP="00B474C8">
      <w:pPr>
        <w:pStyle w:val="NoSpacing"/>
        <w:jc w:val="center"/>
        <w:rPr>
          <w:b/>
          <w:sz w:val="32"/>
        </w:rPr>
      </w:pPr>
      <w:r w:rsidRPr="007D50C7">
        <w:rPr>
          <w:b/>
          <w:sz w:val="32"/>
        </w:rPr>
        <w:t>Vocabulary for the Common Core</w:t>
      </w:r>
    </w:p>
    <w:p w:rsidR="00FB01AF" w:rsidRPr="007D50C7" w:rsidRDefault="00FB01AF" w:rsidP="00B474C8">
      <w:pPr>
        <w:pStyle w:val="NoSpacing"/>
        <w:jc w:val="center"/>
        <w:rPr>
          <w:b/>
          <w:sz w:val="32"/>
        </w:rPr>
      </w:pPr>
      <w:r w:rsidRPr="007D50C7">
        <w:rPr>
          <w:b/>
          <w:sz w:val="32"/>
        </w:rPr>
        <w:t>Middle School Level</w:t>
      </w:r>
      <w:bookmarkStart w:id="0" w:name="_GoBack"/>
      <w:bookmarkEnd w:id="0"/>
    </w:p>
    <w:p w:rsidR="00FB01AF" w:rsidRPr="007D50C7" w:rsidRDefault="00FB01AF" w:rsidP="00FB01AF">
      <w:pPr>
        <w:pStyle w:val="NoSpacing"/>
        <w:rPr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870AF0" w:rsidRPr="00F73173" w:rsidTr="00870AF0">
        <w:tc>
          <w:tcPr>
            <w:tcW w:w="3798" w:type="dxa"/>
          </w:tcPr>
          <w:p w:rsidR="00870AF0" w:rsidRPr="00F73173" w:rsidRDefault="00870AF0" w:rsidP="006A3666">
            <w:pPr>
              <w:pStyle w:val="NoSpacing"/>
              <w:rPr>
                <w:b/>
                <w:sz w:val="28"/>
              </w:rPr>
            </w:pPr>
            <w:r w:rsidRPr="00F73173">
              <w:rPr>
                <w:b/>
                <w:sz w:val="28"/>
              </w:rPr>
              <w:t xml:space="preserve">Key Words:  </w:t>
            </w:r>
          </w:p>
        </w:tc>
        <w:tc>
          <w:tcPr>
            <w:tcW w:w="5778" w:type="dxa"/>
          </w:tcPr>
          <w:p w:rsidR="00870AF0" w:rsidRPr="00F73173" w:rsidRDefault="00870AF0" w:rsidP="006A3666">
            <w:pPr>
              <w:pStyle w:val="NoSpacing"/>
              <w:rPr>
                <w:b/>
                <w:sz w:val="28"/>
              </w:rPr>
            </w:pPr>
            <w:r w:rsidRPr="00F73173">
              <w:rPr>
                <w:b/>
                <w:sz w:val="28"/>
              </w:rPr>
              <w:t>Related Words:</w:t>
            </w:r>
          </w:p>
        </w:tc>
      </w:tr>
      <w:tr w:rsidR="00870AF0" w:rsidTr="00870AF0">
        <w:tc>
          <w:tcPr>
            <w:tcW w:w="3798" w:type="dxa"/>
          </w:tcPr>
          <w:p w:rsidR="00870AF0" w:rsidRDefault="00F73173" w:rsidP="00F73173">
            <w:pPr>
              <w:pStyle w:val="NoSpacing"/>
            </w:pPr>
            <w:r w:rsidRPr="00B474C8">
              <w:rPr>
                <w:b/>
              </w:rPr>
              <w:t>Add/Add to</w:t>
            </w:r>
            <w:r w:rsidR="00870AF0">
              <w:t xml:space="preserve">– put together </w:t>
            </w:r>
          </w:p>
        </w:tc>
        <w:tc>
          <w:tcPr>
            <w:tcW w:w="5778" w:type="dxa"/>
          </w:tcPr>
          <w:p w:rsidR="00870AF0" w:rsidRDefault="00870AF0" w:rsidP="006A3666">
            <w:pPr>
              <w:pStyle w:val="NoSpacing"/>
            </w:pPr>
            <w:r>
              <w:t>Combine, deepen, improve, incorporate, integrate, introduce</w:t>
            </w:r>
          </w:p>
        </w:tc>
      </w:tr>
      <w:tr w:rsidR="007D50C7" w:rsidTr="00870AF0">
        <w:tc>
          <w:tcPr>
            <w:tcW w:w="3798" w:type="dxa"/>
          </w:tcPr>
          <w:p w:rsidR="007D50C7" w:rsidRPr="007D50C7" w:rsidRDefault="007D50C7" w:rsidP="007D50C7">
            <w:pPr>
              <w:pStyle w:val="NoSpacing"/>
            </w:pPr>
            <w:r>
              <w:rPr>
                <w:b/>
              </w:rPr>
              <w:t xml:space="preserve">Analyze – </w:t>
            </w:r>
            <w:r>
              <w:t>study in depth</w:t>
            </w:r>
          </w:p>
        </w:tc>
        <w:tc>
          <w:tcPr>
            <w:tcW w:w="5778" w:type="dxa"/>
          </w:tcPr>
          <w:p w:rsidR="007D50C7" w:rsidRPr="007D50C7" w:rsidRDefault="007D50C7" w:rsidP="007D50C7">
            <w:pPr>
              <w:pStyle w:val="NoSpacing"/>
            </w:pPr>
            <w:r>
              <w:rPr>
                <w:rStyle w:val="oneclick-link"/>
                <w:rFonts w:cs="Helvetica"/>
              </w:rPr>
              <w:t xml:space="preserve">Examine closely, break apart, study </w:t>
            </w:r>
            <w:r w:rsidRPr="007D50C7">
              <w:rPr>
                <w:rStyle w:val="oneclick-link"/>
                <w:rFonts w:cs="Helvetica"/>
              </w:rPr>
              <w:t>key</w:t>
            </w:r>
            <w:r w:rsidRPr="007D50C7">
              <w:rPr>
                <w:rFonts w:cs="Helvetica"/>
              </w:rPr>
              <w:t xml:space="preserve"> </w:t>
            </w:r>
            <w:r w:rsidRPr="007D50C7">
              <w:rPr>
                <w:rStyle w:val="oneclick-link"/>
                <w:rFonts w:cs="Helvetica"/>
              </w:rPr>
              <w:t>factors,</w:t>
            </w:r>
            <w:r>
              <w:rPr>
                <w:rStyle w:val="oneclick-link"/>
                <w:rFonts w:cs="Helvetica"/>
              </w:rPr>
              <w:t xml:space="preserve"> predict possible outcomes </w:t>
            </w:r>
            <w:r w:rsidRPr="007D50C7">
              <w:rPr>
                <w:rFonts w:cs="Helvetica"/>
              </w:rPr>
              <w:t xml:space="preserve"> </w:t>
            </w:r>
          </w:p>
        </w:tc>
      </w:tr>
      <w:tr w:rsidR="00870AF0" w:rsidTr="00870AF0">
        <w:tc>
          <w:tcPr>
            <w:tcW w:w="3798" w:type="dxa"/>
          </w:tcPr>
          <w:p w:rsidR="00870AF0" w:rsidRDefault="00870AF0" w:rsidP="00870AF0">
            <w:pPr>
              <w:pStyle w:val="NoSpacing"/>
            </w:pPr>
            <w:r w:rsidRPr="00B474C8">
              <w:rPr>
                <w:b/>
              </w:rPr>
              <w:t>Arrange</w:t>
            </w:r>
            <w:r>
              <w:t xml:space="preserve"> – put in place or in a location </w:t>
            </w:r>
          </w:p>
        </w:tc>
        <w:tc>
          <w:tcPr>
            <w:tcW w:w="5778" w:type="dxa"/>
          </w:tcPr>
          <w:p w:rsidR="00870AF0" w:rsidRDefault="00870AF0" w:rsidP="006A3666">
            <w:pPr>
              <w:pStyle w:val="NoSpacing"/>
            </w:pPr>
            <w:r>
              <w:t xml:space="preserve">List, organize, sort </w:t>
            </w:r>
          </w:p>
        </w:tc>
      </w:tr>
      <w:tr w:rsidR="00870AF0" w:rsidTr="00870AF0">
        <w:tc>
          <w:tcPr>
            <w:tcW w:w="3798" w:type="dxa"/>
          </w:tcPr>
          <w:p w:rsidR="00870AF0" w:rsidRDefault="00870AF0" w:rsidP="00870AF0">
            <w:pPr>
              <w:pStyle w:val="NoSpacing"/>
            </w:pPr>
            <w:r w:rsidRPr="00B474C8">
              <w:rPr>
                <w:b/>
              </w:rPr>
              <w:t>Collaborate</w:t>
            </w:r>
            <w:r>
              <w:t xml:space="preserve"> – work together</w:t>
            </w:r>
          </w:p>
        </w:tc>
        <w:tc>
          <w:tcPr>
            <w:tcW w:w="5778" w:type="dxa"/>
          </w:tcPr>
          <w:p w:rsidR="00870AF0" w:rsidRDefault="00870AF0" w:rsidP="006A3666">
            <w:pPr>
              <w:pStyle w:val="NoSpacing"/>
            </w:pPr>
            <w:r>
              <w:t>Contribute, engage, interact, participate, share</w:t>
            </w:r>
          </w:p>
        </w:tc>
      </w:tr>
      <w:tr w:rsidR="00870AF0" w:rsidTr="00870AF0">
        <w:tc>
          <w:tcPr>
            <w:tcW w:w="3798" w:type="dxa"/>
          </w:tcPr>
          <w:p w:rsidR="00870AF0" w:rsidRDefault="00870AF0" w:rsidP="006A3666">
            <w:pPr>
              <w:pStyle w:val="NoSpacing"/>
            </w:pPr>
            <w:r w:rsidRPr="00B474C8">
              <w:rPr>
                <w:b/>
              </w:rPr>
              <w:t>Compare/Contrast</w:t>
            </w:r>
            <w:r>
              <w:t xml:space="preserve"> – show connections and differences </w:t>
            </w:r>
          </w:p>
        </w:tc>
        <w:tc>
          <w:tcPr>
            <w:tcW w:w="5778" w:type="dxa"/>
          </w:tcPr>
          <w:p w:rsidR="00870AF0" w:rsidRDefault="00870AF0" w:rsidP="006A3666">
            <w:pPr>
              <w:pStyle w:val="NoSpacing"/>
            </w:pPr>
            <w:r>
              <w:t xml:space="preserve">Associate, categorize, classify, connect, </w:t>
            </w:r>
            <w:r w:rsidRPr="007D50C7">
              <w:rPr>
                <w:b/>
              </w:rPr>
              <w:t>differentiate</w:t>
            </w:r>
            <w:r>
              <w:t>, discriminate, distinguish, link, match, relate</w:t>
            </w:r>
          </w:p>
        </w:tc>
      </w:tr>
      <w:tr w:rsidR="00870AF0" w:rsidTr="00870AF0">
        <w:tc>
          <w:tcPr>
            <w:tcW w:w="3798" w:type="dxa"/>
          </w:tcPr>
          <w:p w:rsidR="00870AF0" w:rsidRDefault="00870AF0" w:rsidP="006A3666">
            <w:pPr>
              <w:pStyle w:val="NoSpacing"/>
            </w:pPr>
            <w:r w:rsidRPr="00B474C8">
              <w:rPr>
                <w:b/>
              </w:rPr>
              <w:t>Create</w:t>
            </w:r>
            <w:r>
              <w:t xml:space="preserve"> – make for the first time</w:t>
            </w:r>
          </w:p>
        </w:tc>
        <w:tc>
          <w:tcPr>
            <w:tcW w:w="5778" w:type="dxa"/>
          </w:tcPr>
          <w:p w:rsidR="00870AF0" w:rsidRDefault="00870AF0" w:rsidP="006A3666">
            <w:pPr>
              <w:pStyle w:val="NoSpacing"/>
            </w:pPr>
            <w:r>
              <w:t>Accomplish, achieve, build, compose, construct, develop, draft, form, generate, initiate, produce, publish, record, stimulate</w:t>
            </w:r>
          </w:p>
        </w:tc>
      </w:tr>
      <w:tr w:rsidR="00870AF0" w:rsidTr="00870AF0">
        <w:tc>
          <w:tcPr>
            <w:tcW w:w="3798" w:type="dxa"/>
          </w:tcPr>
          <w:p w:rsidR="00870AF0" w:rsidRDefault="00870AF0" w:rsidP="006A3666">
            <w:pPr>
              <w:pStyle w:val="NoSpacing"/>
            </w:pPr>
            <w:r w:rsidRPr="00B474C8">
              <w:rPr>
                <w:b/>
              </w:rPr>
              <w:t>Decide</w:t>
            </w:r>
            <w:r>
              <w:t xml:space="preserve"> – consider choices and pick one</w:t>
            </w:r>
          </w:p>
        </w:tc>
        <w:tc>
          <w:tcPr>
            <w:tcW w:w="5778" w:type="dxa"/>
          </w:tcPr>
          <w:p w:rsidR="00870AF0" w:rsidRDefault="00870AF0" w:rsidP="00870AF0">
            <w:pPr>
              <w:pStyle w:val="NoSpacing"/>
            </w:pPr>
            <w:r>
              <w:t>Choose, select</w:t>
            </w:r>
          </w:p>
        </w:tc>
      </w:tr>
      <w:tr w:rsidR="00870AF0" w:rsidTr="00870AF0">
        <w:tc>
          <w:tcPr>
            <w:tcW w:w="3798" w:type="dxa"/>
          </w:tcPr>
          <w:p w:rsidR="00870AF0" w:rsidRDefault="00870AF0" w:rsidP="006A3666">
            <w:pPr>
              <w:pStyle w:val="NoSpacing"/>
            </w:pPr>
            <w:r w:rsidRPr="00B474C8">
              <w:rPr>
                <w:b/>
              </w:rPr>
              <w:t>Define</w:t>
            </w:r>
            <w:r>
              <w:t xml:space="preserve"> – explain something clearly</w:t>
            </w:r>
          </w:p>
        </w:tc>
        <w:tc>
          <w:tcPr>
            <w:tcW w:w="5778" w:type="dxa"/>
          </w:tcPr>
          <w:p w:rsidR="00870AF0" w:rsidRDefault="00870AF0" w:rsidP="00870AF0">
            <w:pPr>
              <w:pStyle w:val="NoSpacing"/>
            </w:pPr>
            <w:r>
              <w:t>Delineate, determine, discern, establish, exemplify, identity, interpret, label, locate, name, recall, recognize</w:t>
            </w:r>
          </w:p>
        </w:tc>
      </w:tr>
      <w:tr w:rsidR="00870AF0" w:rsidTr="00870AF0">
        <w:tc>
          <w:tcPr>
            <w:tcW w:w="3798" w:type="dxa"/>
          </w:tcPr>
          <w:p w:rsidR="00870AF0" w:rsidRDefault="00870AF0" w:rsidP="006A3666">
            <w:pPr>
              <w:pStyle w:val="NoSpacing"/>
            </w:pPr>
            <w:r w:rsidRPr="00B474C8">
              <w:rPr>
                <w:b/>
              </w:rPr>
              <w:t>Elaborate</w:t>
            </w:r>
            <w:r>
              <w:t xml:space="preserve"> – tell more about something </w:t>
            </w:r>
          </w:p>
        </w:tc>
        <w:tc>
          <w:tcPr>
            <w:tcW w:w="5778" w:type="dxa"/>
          </w:tcPr>
          <w:p w:rsidR="00870AF0" w:rsidRDefault="00870AF0" w:rsidP="00870AF0">
            <w:pPr>
              <w:pStyle w:val="NoSpacing"/>
            </w:pPr>
            <w:r>
              <w:t xml:space="preserve">Broaden, derive, </w:t>
            </w:r>
            <w:r w:rsidR="00E3050D">
              <w:t>enhance, expand</w:t>
            </w:r>
          </w:p>
        </w:tc>
      </w:tr>
      <w:tr w:rsidR="00E3050D" w:rsidTr="00870AF0">
        <w:tc>
          <w:tcPr>
            <w:tcW w:w="3798" w:type="dxa"/>
          </w:tcPr>
          <w:p w:rsidR="00E3050D" w:rsidRDefault="00E3050D" w:rsidP="006A3666">
            <w:pPr>
              <w:pStyle w:val="NoSpacing"/>
            </w:pPr>
            <w:r w:rsidRPr="00B474C8">
              <w:rPr>
                <w:b/>
              </w:rPr>
              <w:t>Evaluate</w:t>
            </w:r>
            <w:r>
              <w:t xml:space="preserve"> – decide if something is good or bad, right or wrong, etc. </w:t>
            </w:r>
          </w:p>
        </w:tc>
        <w:tc>
          <w:tcPr>
            <w:tcW w:w="5778" w:type="dxa"/>
          </w:tcPr>
          <w:p w:rsidR="00E3050D" w:rsidRDefault="00E3050D" w:rsidP="00870AF0">
            <w:pPr>
              <w:pStyle w:val="NoSpacing"/>
            </w:pPr>
            <w:r>
              <w:t>Assess, check, critique, judge</w:t>
            </w:r>
          </w:p>
        </w:tc>
      </w:tr>
      <w:tr w:rsidR="00E3050D" w:rsidTr="00870AF0">
        <w:tc>
          <w:tcPr>
            <w:tcW w:w="3798" w:type="dxa"/>
          </w:tcPr>
          <w:p w:rsidR="00E3050D" w:rsidRDefault="00E3050D" w:rsidP="00E3050D">
            <w:pPr>
              <w:pStyle w:val="NoSpacing"/>
            </w:pPr>
            <w:r w:rsidRPr="00B474C8">
              <w:rPr>
                <w:b/>
              </w:rPr>
              <w:t>Execute</w:t>
            </w:r>
            <w:r>
              <w:t xml:space="preserve"> – to do something like a task</w:t>
            </w:r>
          </w:p>
        </w:tc>
        <w:tc>
          <w:tcPr>
            <w:tcW w:w="5778" w:type="dxa"/>
          </w:tcPr>
          <w:p w:rsidR="00E3050D" w:rsidRDefault="00E3050D" w:rsidP="00870AF0">
            <w:pPr>
              <w:pStyle w:val="NoSpacing"/>
            </w:pPr>
            <w:r>
              <w:t xml:space="preserve">Advance, calculate, compute, conduct, employ, navigate </w:t>
            </w:r>
          </w:p>
        </w:tc>
      </w:tr>
      <w:tr w:rsidR="00E3050D" w:rsidTr="00870AF0">
        <w:tc>
          <w:tcPr>
            <w:tcW w:w="3798" w:type="dxa"/>
          </w:tcPr>
          <w:p w:rsidR="00E3050D" w:rsidRDefault="00E3050D" w:rsidP="00E3050D">
            <w:pPr>
              <w:pStyle w:val="NoSpacing"/>
            </w:pPr>
            <w:r w:rsidRPr="00B474C8">
              <w:rPr>
                <w:b/>
              </w:rPr>
              <w:t>Explain</w:t>
            </w:r>
            <w:r>
              <w:t xml:space="preserve"> – give information or reasons about something </w:t>
            </w:r>
          </w:p>
        </w:tc>
        <w:tc>
          <w:tcPr>
            <w:tcW w:w="5778" w:type="dxa"/>
          </w:tcPr>
          <w:p w:rsidR="00E3050D" w:rsidRDefault="00E3050D" w:rsidP="00B474C8">
            <w:pPr>
              <w:pStyle w:val="NoSpacing"/>
            </w:pPr>
            <w:r>
              <w:t>Answer, articulate, clarify, communicate, convey, describe, express, inform, narrate, present, recount, report, respond, retell, state, summarize, synthesize</w:t>
            </w:r>
          </w:p>
        </w:tc>
      </w:tr>
      <w:tr w:rsidR="00E3050D" w:rsidTr="00870AF0">
        <w:tc>
          <w:tcPr>
            <w:tcW w:w="3798" w:type="dxa"/>
          </w:tcPr>
          <w:p w:rsidR="00E3050D" w:rsidRDefault="00E3050D" w:rsidP="00E3050D">
            <w:pPr>
              <w:pStyle w:val="NoSpacing"/>
            </w:pPr>
            <w:r w:rsidRPr="00B474C8">
              <w:rPr>
                <w:b/>
              </w:rPr>
              <w:t>Hypothesize</w:t>
            </w:r>
            <w:r>
              <w:t xml:space="preserve"> – say what you think will happen</w:t>
            </w:r>
          </w:p>
        </w:tc>
        <w:tc>
          <w:tcPr>
            <w:tcW w:w="5778" w:type="dxa"/>
          </w:tcPr>
          <w:p w:rsidR="00E3050D" w:rsidRDefault="00E3050D" w:rsidP="00870AF0">
            <w:pPr>
              <w:pStyle w:val="NoSpacing"/>
            </w:pPr>
            <w:r>
              <w:t xml:space="preserve">Anticipate, approximate, conjecture, consider, estimate, experiment, explore, pose, predict, test </w:t>
            </w:r>
          </w:p>
        </w:tc>
      </w:tr>
      <w:tr w:rsidR="00E3050D" w:rsidTr="00870AF0">
        <w:tc>
          <w:tcPr>
            <w:tcW w:w="3798" w:type="dxa"/>
          </w:tcPr>
          <w:p w:rsidR="00E3050D" w:rsidRDefault="00E3050D" w:rsidP="00E3050D">
            <w:pPr>
              <w:pStyle w:val="NoSpacing"/>
            </w:pPr>
            <w:r w:rsidRPr="00B474C8">
              <w:rPr>
                <w:b/>
              </w:rPr>
              <w:t>Infer</w:t>
            </w:r>
            <w:r>
              <w:t xml:space="preserve"> – decide whether something is true after collecting data on it</w:t>
            </w:r>
          </w:p>
        </w:tc>
        <w:tc>
          <w:tcPr>
            <w:tcW w:w="5778" w:type="dxa"/>
          </w:tcPr>
          <w:p w:rsidR="00E3050D" w:rsidRDefault="00E3050D" w:rsidP="00870AF0">
            <w:pPr>
              <w:pStyle w:val="NoSpacing"/>
            </w:pPr>
            <w:r>
              <w:t xml:space="preserve">Conclude, deduce, generalize, </w:t>
            </w:r>
            <w:r w:rsidRPr="007D50C7">
              <w:rPr>
                <w:b/>
              </w:rPr>
              <w:t>reason</w:t>
            </w:r>
          </w:p>
        </w:tc>
      </w:tr>
      <w:tr w:rsidR="007D50C7" w:rsidTr="00870AF0">
        <w:tc>
          <w:tcPr>
            <w:tcW w:w="3798" w:type="dxa"/>
          </w:tcPr>
          <w:p w:rsidR="007D50C7" w:rsidRPr="007D50C7" w:rsidRDefault="007D50C7" w:rsidP="007D50C7">
            <w:pPr>
              <w:pStyle w:val="NoSpacing"/>
            </w:pPr>
            <w:r>
              <w:rPr>
                <w:b/>
              </w:rPr>
              <w:t xml:space="preserve">Interpret – </w:t>
            </w:r>
            <w:r>
              <w:t xml:space="preserve">determine meaning </w:t>
            </w:r>
          </w:p>
        </w:tc>
        <w:tc>
          <w:tcPr>
            <w:tcW w:w="5778" w:type="dxa"/>
          </w:tcPr>
          <w:p w:rsidR="007D50C7" w:rsidRDefault="007D50C7" w:rsidP="007D50C7">
            <w:pPr>
              <w:pStyle w:val="NoSpacing"/>
            </w:pPr>
            <w:r>
              <w:t>Explain, translate</w:t>
            </w:r>
          </w:p>
        </w:tc>
      </w:tr>
      <w:tr w:rsidR="00E3050D" w:rsidTr="00870AF0">
        <w:tc>
          <w:tcPr>
            <w:tcW w:w="3798" w:type="dxa"/>
          </w:tcPr>
          <w:p w:rsidR="00E3050D" w:rsidRDefault="00E3050D" w:rsidP="00E3050D">
            <w:pPr>
              <w:pStyle w:val="NoSpacing"/>
            </w:pPr>
            <w:r w:rsidRPr="00B474C8">
              <w:rPr>
                <w:b/>
              </w:rPr>
              <w:t>Measure</w:t>
            </w:r>
            <w:r>
              <w:t xml:space="preserve"> – determine size or units</w:t>
            </w:r>
          </w:p>
        </w:tc>
        <w:tc>
          <w:tcPr>
            <w:tcW w:w="5778" w:type="dxa"/>
          </w:tcPr>
          <w:p w:rsidR="00E3050D" w:rsidRDefault="00E3050D" w:rsidP="00870AF0">
            <w:pPr>
              <w:pStyle w:val="NoSpacing"/>
            </w:pPr>
            <w:r>
              <w:t xml:space="preserve">Gauge, </w:t>
            </w:r>
            <w:r w:rsidR="008E22A7">
              <w:t>quantify</w:t>
            </w:r>
          </w:p>
        </w:tc>
      </w:tr>
      <w:tr w:rsidR="00E3050D" w:rsidTr="00870AF0">
        <w:tc>
          <w:tcPr>
            <w:tcW w:w="3798" w:type="dxa"/>
          </w:tcPr>
          <w:p w:rsidR="00E3050D" w:rsidRDefault="00E3050D" w:rsidP="00E3050D">
            <w:pPr>
              <w:pStyle w:val="NoSpacing"/>
            </w:pPr>
            <w:r w:rsidRPr="00B474C8">
              <w:rPr>
                <w:b/>
              </w:rPr>
              <w:t>Problem Solve</w:t>
            </w:r>
            <w:r>
              <w:t xml:space="preserve"> – figure out a solution </w:t>
            </w:r>
          </w:p>
        </w:tc>
        <w:tc>
          <w:tcPr>
            <w:tcW w:w="5778" w:type="dxa"/>
          </w:tcPr>
          <w:p w:rsidR="00E3050D" w:rsidRDefault="00E3050D" w:rsidP="00870AF0">
            <w:pPr>
              <w:pStyle w:val="NoSpacing"/>
            </w:pPr>
            <w:r>
              <w:t xml:space="preserve">Figure out, overcome, resolve, solve, surmount </w:t>
            </w:r>
          </w:p>
        </w:tc>
      </w:tr>
      <w:tr w:rsidR="00E3050D" w:rsidTr="00870AF0">
        <w:tc>
          <w:tcPr>
            <w:tcW w:w="3798" w:type="dxa"/>
          </w:tcPr>
          <w:p w:rsidR="00E3050D" w:rsidRDefault="00E3050D" w:rsidP="00E3050D">
            <w:pPr>
              <w:pStyle w:val="NoSpacing"/>
            </w:pPr>
            <w:r w:rsidRPr="00B474C8">
              <w:rPr>
                <w:b/>
              </w:rPr>
              <w:t>Prove/Argue</w:t>
            </w:r>
            <w:r>
              <w:t xml:space="preserve"> </w:t>
            </w:r>
            <w:r w:rsidR="009C37A9">
              <w:t>–</w:t>
            </w:r>
            <w:r>
              <w:t xml:space="preserve"> </w:t>
            </w:r>
            <w:r w:rsidR="009C37A9">
              <w:t xml:space="preserve">convince someone that something is right or wrong using evidence </w:t>
            </w:r>
          </w:p>
        </w:tc>
        <w:tc>
          <w:tcPr>
            <w:tcW w:w="5778" w:type="dxa"/>
          </w:tcPr>
          <w:p w:rsidR="00E3050D" w:rsidRDefault="009C37A9" w:rsidP="00870AF0">
            <w:pPr>
              <w:pStyle w:val="NoSpacing"/>
            </w:pPr>
            <w:r>
              <w:t xml:space="preserve">Assert, challenge, claim, confirm, defend, disagree, </w:t>
            </w:r>
            <w:r w:rsidRPr="007D50C7">
              <w:rPr>
                <w:b/>
              </w:rPr>
              <w:t>justify</w:t>
            </w:r>
            <w:r>
              <w:t>, persuade, promote, prove, qualify, specify, support,</w:t>
            </w:r>
            <w:r w:rsidR="00D710C1">
              <w:t xml:space="preserve"> verify</w:t>
            </w:r>
          </w:p>
        </w:tc>
      </w:tr>
      <w:tr w:rsidR="00D710C1" w:rsidTr="00870AF0">
        <w:tc>
          <w:tcPr>
            <w:tcW w:w="3798" w:type="dxa"/>
          </w:tcPr>
          <w:p w:rsidR="00D710C1" w:rsidRDefault="00D710C1" w:rsidP="00E3050D">
            <w:pPr>
              <w:pStyle w:val="NoSpacing"/>
            </w:pPr>
            <w:r w:rsidRPr="00B474C8">
              <w:rPr>
                <w:b/>
              </w:rPr>
              <w:t>Pull Apart</w:t>
            </w:r>
            <w:r>
              <w:t xml:space="preserve"> – break into parts </w:t>
            </w:r>
          </w:p>
        </w:tc>
        <w:tc>
          <w:tcPr>
            <w:tcW w:w="5778" w:type="dxa"/>
          </w:tcPr>
          <w:p w:rsidR="00D710C1" w:rsidRDefault="00D710C1" w:rsidP="007D50C7">
            <w:pPr>
              <w:pStyle w:val="NoSpacing"/>
            </w:pPr>
            <w:r>
              <w:t>decompose, decontextualize, diagnose, examine, grapple, investigate, probe</w:t>
            </w:r>
          </w:p>
        </w:tc>
      </w:tr>
      <w:tr w:rsidR="00D710C1" w:rsidTr="00870AF0">
        <w:tc>
          <w:tcPr>
            <w:tcW w:w="3798" w:type="dxa"/>
          </w:tcPr>
          <w:p w:rsidR="00D710C1" w:rsidRDefault="00D710C1" w:rsidP="00E3050D">
            <w:pPr>
              <w:pStyle w:val="NoSpacing"/>
            </w:pPr>
            <w:r w:rsidRPr="00B474C8">
              <w:rPr>
                <w:b/>
              </w:rPr>
              <w:t>Redo</w:t>
            </w:r>
            <w:r>
              <w:t xml:space="preserve"> – do something over again</w:t>
            </w:r>
          </w:p>
        </w:tc>
        <w:tc>
          <w:tcPr>
            <w:tcW w:w="5778" w:type="dxa"/>
          </w:tcPr>
          <w:p w:rsidR="00D710C1" w:rsidRDefault="00D710C1" w:rsidP="00870AF0">
            <w:pPr>
              <w:pStyle w:val="NoSpacing"/>
            </w:pPr>
            <w:r>
              <w:t>Repeat, reread, repeat, revisit</w:t>
            </w:r>
          </w:p>
        </w:tc>
      </w:tr>
      <w:tr w:rsidR="00D710C1" w:rsidTr="00870AF0">
        <w:tc>
          <w:tcPr>
            <w:tcW w:w="3798" w:type="dxa"/>
          </w:tcPr>
          <w:p w:rsidR="00D710C1" w:rsidRDefault="00D710C1" w:rsidP="00E3050D">
            <w:pPr>
              <w:pStyle w:val="NoSpacing"/>
            </w:pPr>
            <w:r w:rsidRPr="00B474C8">
              <w:rPr>
                <w:b/>
              </w:rPr>
              <w:t>Reference</w:t>
            </w:r>
            <w:r>
              <w:t xml:space="preserve"> – mention in a formal way</w:t>
            </w:r>
          </w:p>
        </w:tc>
        <w:tc>
          <w:tcPr>
            <w:tcW w:w="5778" w:type="dxa"/>
          </w:tcPr>
          <w:p w:rsidR="00D710C1" w:rsidRDefault="00D710C1" w:rsidP="007D50C7">
            <w:pPr>
              <w:pStyle w:val="NoSpacing"/>
            </w:pPr>
            <w:r>
              <w:t xml:space="preserve">Acknowledge, cite, consult, refer to, trace </w:t>
            </w:r>
          </w:p>
        </w:tc>
      </w:tr>
      <w:tr w:rsidR="00D710C1" w:rsidTr="00870AF0">
        <w:tc>
          <w:tcPr>
            <w:tcW w:w="3798" w:type="dxa"/>
          </w:tcPr>
          <w:p w:rsidR="00D710C1" w:rsidRDefault="00D710C1" w:rsidP="00E3050D">
            <w:pPr>
              <w:pStyle w:val="NoSpacing"/>
            </w:pPr>
            <w:r w:rsidRPr="00B474C8">
              <w:rPr>
                <w:b/>
              </w:rPr>
              <w:t>Seek Information</w:t>
            </w:r>
            <w:r>
              <w:t xml:space="preserve"> – to find information </w:t>
            </w:r>
          </w:p>
        </w:tc>
        <w:tc>
          <w:tcPr>
            <w:tcW w:w="5778" w:type="dxa"/>
          </w:tcPr>
          <w:p w:rsidR="00D710C1" w:rsidRDefault="00D710C1" w:rsidP="00870AF0">
            <w:pPr>
              <w:pStyle w:val="NoSpacing"/>
            </w:pPr>
            <w:r>
              <w:t xml:space="preserve">Acquire, ask, capture, compile, detect, elicit, encounter, evoke, find out, gather, listen, note, notice, observe, question, request, research, search, study </w:t>
            </w:r>
          </w:p>
        </w:tc>
      </w:tr>
      <w:tr w:rsidR="00D710C1" w:rsidTr="00870AF0">
        <w:tc>
          <w:tcPr>
            <w:tcW w:w="3798" w:type="dxa"/>
          </w:tcPr>
          <w:p w:rsidR="00D710C1" w:rsidRPr="007D50C7" w:rsidRDefault="007D50C7" w:rsidP="00E3050D">
            <w:pPr>
              <w:pStyle w:val="NoSpacing"/>
            </w:pPr>
            <w:r>
              <w:rPr>
                <w:b/>
              </w:rPr>
              <w:t xml:space="preserve">Support – </w:t>
            </w:r>
            <w:r>
              <w:t xml:space="preserve">provide evidence </w:t>
            </w:r>
          </w:p>
        </w:tc>
        <w:tc>
          <w:tcPr>
            <w:tcW w:w="5778" w:type="dxa"/>
          </w:tcPr>
          <w:p w:rsidR="00D710C1" w:rsidRDefault="007D50C7" w:rsidP="00870AF0">
            <w:pPr>
              <w:pStyle w:val="NoSpacing"/>
            </w:pPr>
            <w:r w:rsidRPr="007D50C7">
              <w:rPr>
                <w:b/>
              </w:rPr>
              <w:t>cite</w:t>
            </w:r>
            <w:r>
              <w:t xml:space="preserve">, justify, use quotations or paraphrasing </w:t>
            </w:r>
          </w:p>
        </w:tc>
      </w:tr>
      <w:tr w:rsidR="00D710C1" w:rsidTr="00870AF0">
        <w:tc>
          <w:tcPr>
            <w:tcW w:w="3798" w:type="dxa"/>
          </w:tcPr>
          <w:p w:rsidR="00D710C1" w:rsidRDefault="00D710C1" w:rsidP="00E3050D">
            <w:pPr>
              <w:pStyle w:val="NoSpacing"/>
            </w:pPr>
            <w:r w:rsidRPr="00B474C8">
              <w:rPr>
                <w:b/>
              </w:rPr>
              <w:t>Symbolize</w:t>
            </w:r>
            <w:r>
              <w:t xml:space="preserve"> – create an image, word, or gesture to represent something else </w:t>
            </w:r>
          </w:p>
        </w:tc>
        <w:tc>
          <w:tcPr>
            <w:tcW w:w="5778" w:type="dxa"/>
          </w:tcPr>
          <w:p w:rsidR="00D710C1" w:rsidRDefault="00D710C1" w:rsidP="00870AF0">
            <w:pPr>
              <w:pStyle w:val="NoSpacing"/>
            </w:pPr>
            <w:r>
              <w:t>Act out, chart, conceptualize, demonstrate, depict, diagram, graph, illustrate, imagine, map, model, represent, symbolize, visualize</w:t>
            </w:r>
          </w:p>
        </w:tc>
      </w:tr>
      <w:tr w:rsidR="00D710C1" w:rsidTr="00870AF0">
        <w:tc>
          <w:tcPr>
            <w:tcW w:w="3798" w:type="dxa"/>
          </w:tcPr>
          <w:p w:rsidR="00D710C1" w:rsidRDefault="00D710C1" w:rsidP="00E3050D">
            <w:pPr>
              <w:pStyle w:val="NoSpacing"/>
            </w:pPr>
            <w:r w:rsidRPr="00B474C8">
              <w:rPr>
                <w:b/>
              </w:rPr>
              <w:t>Transform</w:t>
            </w:r>
            <w:r>
              <w:t xml:space="preserve"> – change </w:t>
            </w:r>
          </w:p>
        </w:tc>
        <w:tc>
          <w:tcPr>
            <w:tcW w:w="5778" w:type="dxa"/>
          </w:tcPr>
          <w:p w:rsidR="00D710C1" w:rsidRDefault="00D710C1" w:rsidP="00870AF0">
            <w:pPr>
              <w:pStyle w:val="NoSpacing"/>
            </w:pPr>
            <w:r>
              <w:t xml:space="preserve">Accentuate, adapt, adjust, alter, apply, conform, </w:t>
            </w:r>
            <w:r w:rsidR="00CC75EB">
              <w:t xml:space="preserve">convert, edit, emphasize, manipulate, modify, paraphrase, rearrange, refine, replace, revise, rewrite, shape, shift, simplify, strengthen, substitute, tailor, translate, update </w:t>
            </w:r>
          </w:p>
        </w:tc>
      </w:tr>
    </w:tbl>
    <w:p w:rsidR="00870AF0" w:rsidRPr="00B474C8" w:rsidRDefault="00870AF0" w:rsidP="00B474C8">
      <w:pPr>
        <w:pStyle w:val="NoSpacing"/>
        <w:rPr>
          <w:sz w:val="6"/>
        </w:rPr>
      </w:pPr>
    </w:p>
    <w:sectPr w:rsidR="00870AF0" w:rsidRPr="00B474C8" w:rsidSect="00B474C8"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E7F7F"/>
    <w:multiLevelType w:val="hybridMultilevel"/>
    <w:tmpl w:val="1B9ED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1AF"/>
    <w:rsid w:val="007D50C7"/>
    <w:rsid w:val="00870AF0"/>
    <w:rsid w:val="008E22A7"/>
    <w:rsid w:val="009C37A9"/>
    <w:rsid w:val="00B474C8"/>
    <w:rsid w:val="00C84038"/>
    <w:rsid w:val="00C940BC"/>
    <w:rsid w:val="00CC75EB"/>
    <w:rsid w:val="00D52190"/>
    <w:rsid w:val="00D710C1"/>
    <w:rsid w:val="00E3050D"/>
    <w:rsid w:val="00EA2723"/>
    <w:rsid w:val="00F73173"/>
    <w:rsid w:val="00FB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01AF"/>
    <w:pPr>
      <w:spacing w:after="0" w:line="240" w:lineRule="auto"/>
    </w:pPr>
  </w:style>
  <w:style w:type="table" w:styleId="TableGrid">
    <w:name w:val="Table Grid"/>
    <w:basedOn w:val="TableNormal"/>
    <w:uiPriority w:val="59"/>
    <w:rsid w:val="00FB0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neclick-link">
    <w:name w:val="oneclick-link"/>
    <w:basedOn w:val="DefaultParagraphFont"/>
    <w:rsid w:val="007D50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01AF"/>
    <w:pPr>
      <w:spacing w:after="0" w:line="240" w:lineRule="auto"/>
    </w:pPr>
  </w:style>
  <w:style w:type="table" w:styleId="TableGrid">
    <w:name w:val="Table Grid"/>
    <w:basedOn w:val="TableNormal"/>
    <w:uiPriority w:val="59"/>
    <w:rsid w:val="00FB0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neclick-link">
    <w:name w:val="oneclick-link"/>
    <w:basedOn w:val="DefaultParagraphFont"/>
    <w:rsid w:val="007D5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usre</cp:lastModifiedBy>
  <cp:revision>5</cp:revision>
  <dcterms:created xsi:type="dcterms:W3CDTF">2014-01-30T17:27:00Z</dcterms:created>
  <dcterms:modified xsi:type="dcterms:W3CDTF">2014-11-13T18:02:00Z</dcterms:modified>
</cp:coreProperties>
</file>